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59196EEB" w14:textId="77777777" w:rsidR="001F6EAF" w:rsidRDefault="001F6EAF" w:rsidP="009858C9">
      <w:pPr>
        <w:jc w:val="center"/>
        <w:rPr>
          <w:b/>
          <w:sz w:val="36"/>
          <w:szCs w:val="36"/>
        </w:rPr>
      </w:pPr>
      <w:r w:rsidRPr="001F6EAF">
        <w:rPr>
          <w:b/>
          <w:sz w:val="36"/>
          <w:szCs w:val="36"/>
        </w:rPr>
        <w:lastRenderedPageBreak/>
        <w:t>VII Международная междисциплинарная конференция «Практика и теория в современной науке»</w:t>
      </w:r>
    </w:p>
    <w:p w14:paraId="4E564E59" w14:textId="08E87692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4B1E9CFB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1F6EAF">
        <w:t xml:space="preserve"> </w:t>
      </w:r>
      <w:r w:rsidR="001F6EAF" w:rsidRPr="001F6EAF">
        <w:t>VII Международн</w:t>
      </w:r>
      <w:r w:rsidR="001F6EAF">
        <w:t>ой</w:t>
      </w:r>
      <w:r w:rsidR="001F6EAF" w:rsidRPr="001F6EAF">
        <w:t xml:space="preserve"> междисциплинарн</w:t>
      </w:r>
      <w:r w:rsidR="001F6EAF">
        <w:t>ой</w:t>
      </w:r>
      <w:r w:rsidR="001F6EAF" w:rsidRPr="001F6EAF">
        <w:t xml:space="preserve"> конференци</w:t>
      </w:r>
      <w:r w:rsidR="001F6EAF">
        <w:t>и</w:t>
      </w:r>
      <w:r w:rsidR="001F6EAF" w:rsidRPr="001F6EAF">
        <w:t xml:space="preserve"> «Практика и теория в современной науке»</w:t>
      </w:r>
      <w:r w:rsidR="00373AF8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88467D">
        <w:rPr>
          <w:rFonts w:ascii="Times New Roman" w:hAnsi="Times New Roman"/>
          <w:bCs/>
          <w:szCs w:val="24"/>
        </w:rPr>
        <w:t xml:space="preserve"> 2</w:t>
      </w:r>
      <w:r w:rsidR="001F6EAF">
        <w:rPr>
          <w:rFonts w:ascii="Times New Roman" w:hAnsi="Times New Roman"/>
          <w:bCs/>
          <w:szCs w:val="24"/>
        </w:rPr>
        <w:t>4</w:t>
      </w:r>
      <w:r w:rsidR="0088467D">
        <w:rPr>
          <w:rFonts w:ascii="Times New Roman" w:hAnsi="Times New Roman"/>
          <w:bCs/>
          <w:szCs w:val="24"/>
        </w:rPr>
        <w:t xml:space="preserve"> </w:t>
      </w:r>
      <w:r w:rsidR="005D0BA1">
        <w:rPr>
          <w:rFonts w:ascii="Times New Roman" w:hAnsi="Times New Roman"/>
          <w:bCs/>
          <w:szCs w:val="24"/>
        </w:rPr>
        <w:t>января</w:t>
      </w:r>
      <w:r w:rsidR="007E6E50">
        <w:rPr>
          <w:rFonts w:ascii="Times New Roman" w:hAnsi="Times New Roman"/>
          <w:bCs/>
          <w:szCs w:val="24"/>
        </w:rPr>
        <w:t xml:space="preserve">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(World ranking of scientific activity),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7363C1C9" w:rsidR="00F54493" w:rsidRPr="009858C9" w:rsidRDefault="0088467D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</w:t>
            </w:r>
            <w:r w:rsidR="001F6EAF">
              <w:rPr>
                <w:rFonts w:ascii="Times New Roman" w:hAnsi="Times New Roman"/>
                <w:bCs/>
                <w:i/>
                <w:iCs/>
                <w:szCs w:val="24"/>
              </w:rPr>
              <w:t>4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5D0BA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января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4938E934" w:rsidR="00F54493" w:rsidRPr="009858C9" w:rsidRDefault="001F6EAF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31 </w:t>
            </w:r>
            <w:r w:rsidR="005D0BA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января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5AE53A68" w:rsidR="00F54493" w:rsidRPr="009858C9" w:rsidRDefault="001F6EAF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7</w:t>
            </w:r>
            <w:r w:rsidR="0088467D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февраля </w:t>
            </w:r>
            <w:r w:rsidR="00F0753B" w:rsidRPr="009858C9">
              <w:rPr>
                <w:i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0DAE17B4" w:rsidR="00F54493" w:rsidRPr="009858C9" w:rsidRDefault="001F6EAF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7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февраля </w:t>
            </w:r>
            <w:r w:rsidR="00F0753B" w:rsidRPr="009858C9">
              <w:rPr>
                <w:i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4A34FC89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88467D">
        <w:rPr>
          <w:b/>
          <w:bCs/>
        </w:rPr>
        <w:t>2</w:t>
      </w:r>
      <w:r w:rsidR="001F6EAF">
        <w:rPr>
          <w:b/>
          <w:bCs/>
        </w:rPr>
        <w:t>4</w:t>
      </w:r>
      <w:r w:rsidR="005D0BA1">
        <w:rPr>
          <w:b/>
          <w:bCs/>
        </w:rPr>
        <w:t xml:space="preserve"> января </w:t>
      </w:r>
      <w:r w:rsidRPr="009F3E72"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50674A4F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88467D">
        <w:rPr>
          <w:rFonts w:ascii="Times New Roman" w:hAnsi="Times New Roman"/>
          <w:b/>
          <w:szCs w:val="24"/>
        </w:rPr>
        <w:t>2</w:t>
      </w:r>
      <w:r w:rsidR="001F6EAF">
        <w:rPr>
          <w:rFonts w:ascii="Times New Roman" w:hAnsi="Times New Roman"/>
          <w:b/>
          <w:szCs w:val="24"/>
        </w:rPr>
        <w:t>4</w:t>
      </w:r>
      <w:r w:rsidR="005D0BA1">
        <w:rPr>
          <w:rFonts w:ascii="Times New Roman" w:hAnsi="Times New Roman"/>
          <w:b/>
          <w:szCs w:val="24"/>
        </w:rPr>
        <w:t xml:space="preserve"> января </w:t>
      </w:r>
      <w:r>
        <w:rPr>
          <w:rFonts w:ascii="Times New Roman" w:hAnsi="Times New Roman"/>
          <w:color w:val="auto"/>
          <w:szCs w:val="24"/>
        </w:rPr>
        <w:t xml:space="preserve">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в библиотеке eLibrary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E4984E6" w14:textId="77777777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1F5F69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E240B2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6FBB53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61991D45" w:rsidR="008842BA" w:rsidRDefault="008842BA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A04BB07" w14:textId="77777777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>Генгин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Изучена активность пептидил-дипептидазы А (3.4.15.1) и карбоксипептидазы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пептидил-дипептидаза А, карбоксипептидаза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пр-кт,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1EC2" w14:textId="77777777" w:rsidR="00D84C0A" w:rsidRDefault="00D84C0A" w:rsidP="009858C9">
      <w:pPr>
        <w:spacing w:line="240" w:lineRule="auto"/>
      </w:pPr>
      <w:r>
        <w:separator/>
      </w:r>
    </w:p>
  </w:endnote>
  <w:endnote w:type="continuationSeparator" w:id="0">
    <w:p w14:paraId="1D5F2A68" w14:textId="77777777" w:rsidR="00D84C0A" w:rsidRDefault="00D84C0A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4AC3" w14:textId="77777777" w:rsidR="00D84C0A" w:rsidRDefault="00D84C0A" w:rsidP="009858C9">
      <w:pPr>
        <w:spacing w:line="240" w:lineRule="auto"/>
      </w:pPr>
      <w:r>
        <w:separator/>
      </w:r>
    </w:p>
  </w:footnote>
  <w:footnote w:type="continuationSeparator" w:id="0">
    <w:p w14:paraId="239A4162" w14:textId="77777777" w:rsidR="00D84C0A" w:rsidRDefault="00D84C0A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1F6EAF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227D"/>
    <w:rsid w:val="0038482C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865FC"/>
    <w:rsid w:val="006E2E7F"/>
    <w:rsid w:val="007202DF"/>
    <w:rsid w:val="0074317F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A40F6"/>
    <w:rsid w:val="008E51EC"/>
    <w:rsid w:val="009277A4"/>
    <w:rsid w:val="0095178E"/>
    <w:rsid w:val="00954002"/>
    <w:rsid w:val="009705EA"/>
    <w:rsid w:val="009858C9"/>
    <w:rsid w:val="00995E20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D06903"/>
    <w:rsid w:val="00D31C42"/>
    <w:rsid w:val="00D525DC"/>
    <w:rsid w:val="00D52A03"/>
    <w:rsid w:val="00D63E03"/>
    <w:rsid w:val="00D84C0A"/>
    <w:rsid w:val="00D86AE7"/>
    <w:rsid w:val="00DF0315"/>
    <w:rsid w:val="00E10BEA"/>
    <w:rsid w:val="00E4126A"/>
    <w:rsid w:val="00E45470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sadsad</cp:lastModifiedBy>
  <cp:revision>90</cp:revision>
  <dcterms:created xsi:type="dcterms:W3CDTF">2022-02-28T10:11:00Z</dcterms:created>
  <dcterms:modified xsi:type="dcterms:W3CDTF">2022-12-19T11:27:00Z</dcterms:modified>
</cp:coreProperties>
</file>